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5D1B" w:rsidRPr="00793938" w:rsidRDefault="000A5AF5" w:rsidP="00793938">
      <w:pPr>
        <w:pStyle w:val="IQB-Aufgabentitel"/>
        <w:spacing w:after="120"/>
        <w:rPr>
          <w:rFonts w:cs="Arial"/>
          <w:szCs w:val="28"/>
        </w:rPr>
      </w:pPr>
      <w:r w:rsidRPr="00793938">
        <w:rPr>
          <w:rFonts w:cs="Arial"/>
          <w:szCs w:val="28"/>
        </w:rPr>
        <w:t xml:space="preserve">Didaktische </w:t>
      </w:r>
      <w:r w:rsidR="00BA4A39">
        <w:rPr>
          <w:rFonts w:cs="Arial"/>
          <w:szCs w:val="28"/>
        </w:rPr>
        <w:t>Kommentierung</w:t>
      </w:r>
      <w:bookmarkStart w:id="0" w:name="_GoBack"/>
      <w:bookmarkEnd w:id="0"/>
      <w:r w:rsidRPr="00793938">
        <w:rPr>
          <w:rFonts w:cs="Arial"/>
          <w:szCs w:val="28"/>
        </w:rPr>
        <w:t xml:space="preserve">: </w:t>
      </w:r>
      <w:r w:rsidR="007F3805" w:rsidRPr="00793938">
        <w:rPr>
          <w:rFonts w:cs="Arial"/>
          <w:szCs w:val="28"/>
        </w:rPr>
        <w:t>Aufgabe</w:t>
      </w:r>
      <w:r w:rsidRPr="00793938">
        <w:rPr>
          <w:rFonts w:cs="Arial"/>
          <w:szCs w:val="28"/>
        </w:rPr>
        <w:t xml:space="preserve"> </w:t>
      </w:r>
      <w:r w:rsidR="007F3805" w:rsidRPr="00793938">
        <w:rPr>
          <w:rFonts w:cs="Arial"/>
          <w:szCs w:val="28"/>
        </w:rPr>
        <w:t>Spiegelachsen</w:t>
      </w:r>
    </w:p>
    <w:p w:rsidR="00793938" w:rsidRPr="00793938" w:rsidRDefault="00793938" w:rsidP="00793938">
      <w:pPr>
        <w:pStyle w:val="IQB-Aufgabentitel"/>
        <w:spacing w:after="120"/>
        <w:rPr>
          <w:rFonts w:cs="Arial"/>
          <w:sz w:val="22"/>
          <w:szCs w:val="22"/>
        </w:rPr>
      </w:pPr>
    </w:p>
    <w:p w:rsidR="000A5AF5" w:rsidRPr="00793938" w:rsidRDefault="000A5AF5" w:rsidP="00793938">
      <w:pPr>
        <w:pStyle w:val="IQB-Aufgabentitel"/>
        <w:spacing w:after="120"/>
        <w:rPr>
          <w:rFonts w:cs="Arial"/>
          <w:b/>
          <w:sz w:val="22"/>
          <w:szCs w:val="22"/>
        </w:rPr>
      </w:pPr>
      <w:r w:rsidRPr="00793938">
        <w:rPr>
          <w:rFonts w:cs="Arial"/>
          <w:b/>
          <w:sz w:val="22"/>
          <w:szCs w:val="22"/>
        </w:rPr>
        <w:t>Aufgabenmerkmale</w:t>
      </w:r>
    </w:p>
    <w:tbl>
      <w:tblPr>
        <w:tblW w:w="11023" w:type="dxa"/>
        <w:tblInd w:w="-709" w:type="dxa"/>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ayout w:type="fixed"/>
        <w:tblLook w:val="04A0" w:firstRow="1" w:lastRow="0" w:firstColumn="1" w:lastColumn="0" w:noHBand="0" w:noVBand="1"/>
      </w:tblPr>
      <w:tblGrid>
        <w:gridCol w:w="1702"/>
        <w:gridCol w:w="1559"/>
        <w:gridCol w:w="1559"/>
        <w:gridCol w:w="1526"/>
        <w:gridCol w:w="1559"/>
        <w:gridCol w:w="1559"/>
        <w:gridCol w:w="1559"/>
      </w:tblGrid>
      <w:tr w:rsidR="007F3805" w:rsidRPr="007F3805" w:rsidTr="007F3805">
        <w:trPr>
          <w:trHeight w:val="320"/>
        </w:trPr>
        <w:tc>
          <w:tcPr>
            <w:tcW w:w="1702" w:type="dxa"/>
            <w:vAlign w:val="center"/>
          </w:tcPr>
          <w:p w:rsidR="006F5D1B" w:rsidRPr="007F3805" w:rsidRDefault="007F3805" w:rsidP="00793938">
            <w:pPr>
              <w:pStyle w:val="IQB-Merkmal"/>
              <w:spacing w:before="0" w:after="120"/>
              <w:rPr>
                <w:rFonts w:cs="Arial"/>
                <w:sz w:val="16"/>
                <w:szCs w:val="16"/>
              </w:rPr>
            </w:pPr>
            <w:r w:rsidRPr="007F3805">
              <w:rPr>
                <w:rFonts w:cs="Arial"/>
                <w:sz w:val="16"/>
                <w:szCs w:val="16"/>
              </w:rPr>
              <w:t>Leitidee</w:t>
            </w:r>
          </w:p>
        </w:tc>
        <w:tc>
          <w:tcPr>
            <w:tcW w:w="9321" w:type="dxa"/>
            <w:gridSpan w:val="6"/>
          </w:tcPr>
          <w:p w:rsidR="006F5D1B" w:rsidRPr="007F3805" w:rsidRDefault="007F3805" w:rsidP="00793938">
            <w:pPr>
              <w:pStyle w:val="IQB-Merkmalswert"/>
              <w:spacing w:before="0" w:after="120"/>
              <w:rPr>
                <w:rFonts w:cs="Arial"/>
                <w:sz w:val="16"/>
                <w:szCs w:val="16"/>
              </w:rPr>
            </w:pPr>
            <w:r w:rsidRPr="007F3805">
              <w:rPr>
                <w:rFonts w:cs="Arial"/>
                <w:sz w:val="16"/>
                <w:szCs w:val="16"/>
              </w:rPr>
              <w:t>Raum und Form</w:t>
            </w:r>
          </w:p>
        </w:tc>
      </w:tr>
      <w:tr w:rsidR="007F3805" w:rsidRPr="007F3805" w:rsidTr="007F3805">
        <w:trPr>
          <w:trHeight w:val="514"/>
        </w:trPr>
        <w:tc>
          <w:tcPr>
            <w:tcW w:w="1702" w:type="dxa"/>
          </w:tcPr>
          <w:p w:rsidR="006F5D1B" w:rsidRPr="007F3805" w:rsidRDefault="007F3805" w:rsidP="00793938">
            <w:pPr>
              <w:pStyle w:val="IQB-Merkmal"/>
              <w:spacing w:before="0" w:after="120"/>
              <w:rPr>
                <w:rFonts w:cs="Arial"/>
                <w:sz w:val="16"/>
                <w:szCs w:val="16"/>
              </w:rPr>
            </w:pPr>
            <w:r w:rsidRPr="007F3805">
              <w:rPr>
                <w:rFonts w:cs="Arial"/>
                <w:sz w:val="16"/>
                <w:szCs w:val="16"/>
              </w:rPr>
              <w:t>Aufgabenmerkmale</w:t>
            </w:r>
          </w:p>
        </w:tc>
        <w:tc>
          <w:tcPr>
            <w:tcW w:w="1559" w:type="dxa"/>
          </w:tcPr>
          <w:p w:rsidR="006F5D1B" w:rsidRPr="007F3805" w:rsidRDefault="007F3805" w:rsidP="00793938">
            <w:pPr>
              <w:pStyle w:val="IQB-Merkmalswert"/>
              <w:spacing w:before="0" w:after="120"/>
              <w:rPr>
                <w:rFonts w:cs="Arial"/>
                <w:sz w:val="16"/>
                <w:szCs w:val="16"/>
              </w:rPr>
            </w:pPr>
            <w:r w:rsidRPr="007F3805">
              <w:rPr>
                <w:rFonts w:cs="Arial"/>
                <w:sz w:val="16"/>
                <w:szCs w:val="16"/>
              </w:rPr>
              <w:t>1.1</w:t>
            </w:r>
          </w:p>
        </w:tc>
        <w:tc>
          <w:tcPr>
            <w:tcW w:w="1559" w:type="dxa"/>
          </w:tcPr>
          <w:p w:rsidR="006F5D1B" w:rsidRPr="007F3805" w:rsidRDefault="007F3805" w:rsidP="00793938">
            <w:pPr>
              <w:pStyle w:val="IQB-Merkmalswert"/>
              <w:spacing w:before="0" w:after="120"/>
              <w:rPr>
                <w:rFonts w:cs="Arial"/>
                <w:sz w:val="16"/>
                <w:szCs w:val="16"/>
              </w:rPr>
            </w:pPr>
            <w:r w:rsidRPr="007F3805">
              <w:rPr>
                <w:rFonts w:cs="Arial"/>
                <w:sz w:val="16"/>
                <w:szCs w:val="16"/>
              </w:rPr>
              <w:t>1.2</w:t>
            </w:r>
          </w:p>
        </w:tc>
        <w:tc>
          <w:tcPr>
            <w:tcW w:w="1526" w:type="dxa"/>
          </w:tcPr>
          <w:p w:rsidR="006F5D1B" w:rsidRPr="007F3805" w:rsidRDefault="007F3805" w:rsidP="00793938">
            <w:pPr>
              <w:pStyle w:val="IQB-Merkmalswert"/>
              <w:spacing w:before="0" w:after="120"/>
              <w:rPr>
                <w:rFonts w:cs="Arial"/>
                <w:sz w:val="16"/>
                <w:szCs w:val="16"/>
              </w:rPr>
            </w:pPr>
            <w:r w:rsidRPr="007F3805">
              <w:rPr>
                <w:rFonts w:cs="Arial"/>
                <w:sz w:val="16"/>
                <w:szCs w:val="16"/>
              </w:rPr>
              <w:t>1.3</w:t>
            </w:r>
          </w:p>
        </w:tc>
        <w:tc>
          <w:tcPr>
            <w:tcW w:w="1559" w:type="dxa"/>
          </w:tcPr>
          <w:p w:rsidR="006F5D1B" w:rsidRPr="007F3805" w:rsidRDefault="007F3805" w:rsidP="00793938">
            <w:pPr>
              <w:pStyle w:val="IQB-Merkmalswert"/>
              <w:spacing w:before="0" w:after="120"/>
              <w:rPr>
                <w:rFonts w:cs="Arial"/>
                <w:sz w:val="16"/>
                <w:szCs w:val="16"/>
              </w:rPr>
            </w:pPr>
            <w:r w:rsidRPr="007F3805">
              <w:rPr>
                <w:rFonts w:cs="Arial"/>
                <w:sz w:val="16"/>
                <w:szCs w:val="16"/>
              </w:rPr>
              <w:t>1.4</w:t>
            </w:r>
          </w:p>
        </w:tc>
        <w:tc>
          <w:tcPr>
            <w:tcW w:w="1559" w:type="dxa"/>
          </w:tcPr>
          <w:p w:rsidR="006F5D1B" w:rsidRPr="007F3805" w:rsidRDefault="007F3805" w:rsidP="00793938">
            <w:pPr>
              <w:pStyle w:val="IQB-Merkmalswert"/>
              <w:spacing w:before="0" w:after="120"/>
              <w:rPr>
                <w:rFonts w:cs="Arial"/>
                <w:sz w:val="16"/>
                <w:szCs w:val="16"/>
              </w:rPr>
            </w:pPr>
            <w:r w:rsidRPr="007F3805">
              <w:rPr>
                <w:rFonts w:cs="Arial"/>
                <w:sz w:val="16"/>
                <w:szCs w:val="16"/>
              </w:rPr>
              <w:t>1.5</w:t>
            </w:r>
          </w:p>
        </w:tc>
        <w:tc>
          <w:tcPr>
            <w:tcW w:w="1559" w:type="dxa"/>
          </w:tcPr>
          <w:p w:rsidR="006F5D1B" w:rsidRPr="007F3805" w:rsidRDefault="007F3805" w:rsidP="00793938">
            <w:pPr>
              <w:pStyle w:val="IQB-Merkmalswert"/>
              <w:spacing w:before="0" w:after="120"/>
              <w:rPr>
                <w:rFonts w:cs="Arial"/>
                <w:sz w:val="16"/>
                <w:szCs w:val="16"/>
              </w:rPr>
            </w:pPr>
            <w:r w:rsidRPr="007F3805">
              <w:rPr>
                <w:rFonts w:cs="Arial"/>
                <w:sz w:val="16"/>
                <w:szCs w:val="16"/>
              </w:rPr>
              <w:t>1.6</w:t>
            </w:r>
          </w:p>
        </w:tc>
      </w:tr>
      <w:tr w:rsidR="007F3805" w:rsidRPr="007F3805" w:rsidTr="007F3805">
        <w:trPr>
          <w:trHeight w:val="2330"/>
        </w:trPr>
        <w:tc>
          <w:tcPr>
            <w:tcW w:w="1702" w:type="dxa"/>
            <w:vAlign w:val="center"/>
          </w:tcPr>
          <w:p w:rsidR="006F5D1B" w:rsidRPr="007F3805" w:rsidRDefault="007F3805" w:rsidP="00793938">
            <w:pPr>
              <w:pStyle w:val="IQB-Merkmal"/>
              <w:spacing w:before="0" w:after="120"/>
              <w:rPr>
                <w:rFonts w:cs="Arial"/>
                <w:sz w:val="16"/>
                <w:szCs w:val="16"/>
              </w:rPr>
            </w:pPr>
            <w:r w:rsidRPr="007F3805">
              <w:rPr>
                <w:rFonts w:cs="Arial"/>
                <w:sz w:val="16"/>
                <w:szCs w:val="16"/>
              </w:rPr>
              <w:t>Bildungsstandard/s - Allgemeine Kompetenzen</w:t>
            </w:r>
          </w:p>
        </w:tc>
        <w:tc>
          <w:tcPr>
            <w:tcW w:w="1559" w:type="dxa"/>
          </w:tcPr>
          <w:p w:rsidR="006F5D1B" w:rsidRPr="007F3805" w:rsidRDefault="007F3805" w:rsidP="00793938">
            <w:pPr>
              <w:pStyle w:val="IQB-Merkmalswert"/>
              <w:spacing w:before="0" w:after="120"/>
              <w:rPr>
                <w:rFonts w:cs="Arial"/>
                <w:sz w:val="16"/>
                <w:szCs w:val="16"/>
              </w:rPr>
            </w:pPr>
            <w:r w:rsidRPr="007F3805">
              <w:rPr>
                <w:rFonts w:cs="Arial"/>
                <w:sz w:val="16"/>
                <w:szCs w:val="16"/>
              </w:rPr>
              <w:t>mathematische Kenntnisse, Fertigkeiten und Fähigkeiten bei der Bearbeitung problemhaltiger Aufgaben anwenden</w:t>
            </w:r>
          </w:p>
        </w:tc>
        <w:tc>
          <w:tcPr>
            <w:tcW w:w="1559" w:type="dxa"/>
          </w:tcPr>
          <w:p w:rsidR="006F5D1B" w:rsidRPr="007F3805" w:rsidRDefault="007F3805" w:rsidP="00793938">
            <w:pPr>
              <w:pStyle w:val="IQB-Merkmalswert"/>
              <w:spacing w:before="0" w:after="120"/>
              <w:rPr>
                <w:rFonts w:cs="Arial"/>
                <w:sz w:val="16"/>
                <w:szCs w:val="16"/>
              </w:rPr>
            </w:pPr>
            <w:r w:rsidRPr="007F3805">
              <w:rPr>
                <w:rFonts w:cs="Arial"/>
                <w:sz w:val="16"/>
                <w:szCs w:val="16"/>
              </w:rPr>
              <w:t>mathematische Kenntnisse, Fertigkeiten und Fähigkeiten bei der Bearbeitung problemhaltiger Aufgaben anwenden</w:t>
            </w:r>
          </w:p>
        </w:tc>
        <w:tc>
          <w:tcPr>
            <w:tcW w:w="1526" w:type="dxa"/>
          </w:tcPr>
          <w:p w:rsidR="006F5D1B" w:rsidRPr="007F3805" w:rsidRDefault="007F3805" w:rsidP="00793938">
            <w:pPr>
              <w:pStyle w:val="IQB-Merkmalswert"/>
              <w:spacing w:before="0" w:after="120"/>
              <w:rPr>
                <w:rFonts w:cs="Arial"/>
                <w:sz w:val="16"/>
                <w:szCs w:val="16"/>
              </w:rPr>
            </w:pPr>
            <w:r w:rsidRPr="007F3805">
              <w:rPr>
                <w:rFonts w:cs="Arial"/>
                <w:sz w:val="16"/>
                <w:szCs w:val="16"/>
              </w:rPr>
              <w:t>mathematische Kenntnisse, Fertigkeiten und Fähigkeiten bei der Bearbeitung problemhaltiger Aufgaben anwenden</w:t>
            </w:r>
          </w:p>
        </w:tc>
        <w:tc>
          <w:tcPr>
            <w:tcW w:w="1559" w:type="dxa"/>
          </w:tcPr>
          <w:p w:rsidR="006F5D1B" w:rsidRPr="007F3805" w:rsidRDefault="007F3805" w:rsidP="00793938">
            <w:pPr>
              <w:pStyle w:val="IQB-Merkmalswert"/>
              <w:spacing w:before="0" w:after="120"/>
              <w:rPr>
                <w:rFonts w:cs="Arial"/>
                <w:sz w:val="16"/>
                <w:szCs w:val="16"/>
              </w:rPr>
            </w:pPr>
            <w:r w:rsidRPr="007F3805">
              <w:rPr>
                <w:rFonts w:cs="Arial"/>
                <w:sz w:val="16"/>
                <w:szCs w:val="16"/>
              </w:rPr>
              <w:t>mathematische Kenntnisse, Fertigkeiten und Fähigkeiten bei der Bearbeitung problemhaltiger Aufgaben anwenden</w:t>
            </w:r>
          </w:p>
        </w:tc>
        <w:tc>
          <w:tcPr>
            <w:tcW w:w="1559" w:type="dxa"/>
          </w:tcPr>
          <w:p w:rsidR="006F5D1B" w:rsidRPr="007F3805" w:rsidRDefault="007F3805" w:rsidP="00793938">
            <w:pPr>
              <w:pStyle w:val="IQB-Merkmalswert"/>
              <w:spacing w:before="0" w:after="120"/>
              <w:rPr>
                <w:rFonts w:cs="Arial"/>
                <w:sz w:val="16"/>
                <w:szCs w:val="16"/>
              </w:rPr>
            </w:pPr>
            <w:r w:rsidRPr="007F3805">
              <w:rPr>
                <w:rFonts w:cs="Arial"/>
                <w:sz w:val="16"/>
                <w:szCs w:val="16"/>
              </w:rPr>
              <w:t>mathematische Kenntnisse, Fertigkeiten und Fähigkeiten bei der Bearbeitung problemhaltiger Aufgaben anwenden</w:t>
            </w:r>
          </w:p>
        </w:tc>
        <w:tc>
          <w:tcPr>
            <w:tcW w:w="1559" w:type="dxa"/>
          </w:tcPr>
          <w:p w:rsidR="006F5D1B" w:rsidRPr="007F3805" w:rsidRDefault="007F3805" w:rsidP="00793938">
            <w:pPr>
              <w:pStyle w:val="IQB-Merkmalswert"/>
              <w:spacing w:before="0" w:after="120"/>
              <w:rPr>
                <w:rFonts w:cs="Arial"/>
                <w:sz w:val="16"/>
                <w:szCs w:val="16"/>
              </w:rPr>
            </w:pPr>
            <w:r w:rsidRPr="007F3805">
              <w:rPr>
                <w:rFonts w:cs="Arial"/>
                <w:sz w:val="16"/>
                <w:szCs w:val="16"/>
              </w:rPr>
              <w:t>mathematische Kenntnisse, Fertigkeiten und Fähigkeiten bei der Bearbeitung problemhaltiger Aufgaben anwenden</w:t>
            </w:r>
          </w:p>
        </w:tc>
      </w:tr>
      <w:tr w:rsidR="007F3805" w:rsidRPr="007F3805" w:rsidTr="007F3805">
        <w:trPr>
          <w:trHeight w:val="1161"/>
        </w:trPr>
        <w:tc>
          <w:tcPr>
            <w:tcW w:w="1702" w:type="dxa"/>
            <w:vAlign w:val="center"/>
          </w:tcPr>
          <w:p w:rsidR="006F5D1B" w:rsidRPr="007F3805" w:rsidRDefault="007F3805" w:rsidP="00793938">
            <w:pPr>
              <w:pStyle w:val="IQB-Merkmal"/>
              <w:spacing w:before="0" w:after="120"/>
              <w:rPr>
                <w:rFonts w:cs="Arial"/>
                <w:sz w:val="16"/>
                <w:szCs w:val="16"/>
              </w:rPr>
            </w:pPr>
            <w:r w:rsidRPr="007F3805">
              <w:rPr>
                <w:rFonts w:cs="Arial"/>
                <w:sz w:val="16"/>
                <w:szCs w:val="16"/>
              </w:rPr>
              <w:t>Bildungsstandard/s - Inhaltsbezogene Kompetenzen (Leitideen)</w:t>
            </w:r>
          </w:p>
        </w:tc>
        <w:tc>
          <w:tcPr>
            <w:tcW w:w="1559" w:type="dxa"/>
          </w:tcPr>
          <w:p w:rsidR="006F5D1B" w:rsidRPr="007F3805" w:rsidRDefault="007F3805" w:rsidP="00793938">
            <w:pPr>
              <w:pStyle w:val="IQB-Merkmalswert"/>
              <w:spacing w:before="0" w:after="120"/>
              <w:rPr>
                <w:rFonts w:cs="Arial"/>
                <w:sz w:val="16"/>
                <w:szCs w:val="16"/>
              </w:rPr>
            </w:pPr>
            <w:r w:rsidRPr="007F3805">
              <w:rPr>
                <w:rFonts w:cs="Arial"/>
                <w:sz w:val="16"/>
                <w:szCs w:val="16"/>
              </w:rPr>
              <w:t>Eigenschaften d</w:t>
            </w:r>
            <w:r>
              <w:rPr>
                <w:rFonts w:cs="Arial"/>
                <w:sz w:val="16"/>
                <w:szCs w:val="16"/>
              </w:rPr>
              <w:t>.</w:t>
            </w:r>
            <w:r w:rsidRPr="007F3805">
              <w:rPr>
                <w:rFonts w:cs="Arial"/>
                <w:sz w:val="16"/>
                <w:szCs w:val="16"/>
              </w:rPr>
              <w:t xml:space="preserve"> Achsensymmetrie erkennen, beschreiben und nutzen</w:t>
            </w:r>
          </w:p>
        </w:tc>
        <w:tc>
          <w:tcPr>
            <w:tcW w:w="1559" w:type="dxa"/>
          </w:tcPr>
          <w:p w:rsidR="006F5D1B" w:rsidRPr="007F3805" w:rsidRDefault="007F3805" w:rsidP="00793938">
            <w:pPr>
              <w:pStyle w:val="IQB-Merkmalswert"/>
              <w:spacing w:before="0" w:after="120"/>
              <w:rPr>
                <w:rFonts w:cs="Arial"/>
                <w:sz w:val="16"/>
                <w:szCs w:val="16"/>
              </w:rPr>
            </w:pPr>
            <w:r w:rsidRPr="007F3805">
              <w:rPr>
                <w:rFonts w:cs="Arial"/>
                <w:sz w:val="16"/>
                <w:szCs w:val="16"/>
              </w:rPr>
              <w:t>Eigenschaften d</w:t>
            </w:r>
            <w:r>
              <w:rPr>
                <w:rFonts w:cs="Arial"/>
                <w:sz w:val="16"/>
                <w:szCs w:val="16"/>
              </w:rPr>
              <w:t xml:space="preserve">. </w:t>
            </w:r>
            <w:r w:rsidRPr="007F3805">
              <w:rPr>
                <w:rFonts w:cs="Arial"/>
                <w:sz w:val="16"/>
                <w:szCs w:val="16"/>
              </w:rPr>
              <w:t>Achsensymmetrie erkennen, beschreiben und nutzen</w:t>
            </w:r>
          </w:p>
        </w:tc>
        <w:tc>
          <w:tcPr>
            <w:tcW w:w="1526" w:type="dxa"/>
          </w:tcPr>
          <w:p w:rsidR="006F5D1B" w:rsidRPr="007F3805" w:rsidRDefault="007F3805" w:rsidP="00793938">
            <w:pPr>
              <w:pStyle w:val="IQB-Merkmalswert"/>
              <w:spacing w:before="0" w:after="120"/>
              <w:rPr>
                <w:rFonts w:cs="Arial"/>
                <w:sz w:val="16"/>
                <w:szCs w:val="16"/>
              </w:rPr>
            </w:pPr>
            <w:r w:rsidRPr="007F3805">
              <w:rPr>
                <w:rFonts w:cs="Arial"/>
                <w:sz w:val="16"/>
                <w:szCs w:val="16"/>
              </w:rPr>
              <w:t>Eigenschaften d</w:t>
            </w:r>
            <w:r>
              <w:rPr>
                <w:rFonts w:cs="Arial"/>
                <w:sz w:val="16"/>
                <w:szCs w:val="16"/>
              </w:rPr>
              <w:t xml:space="preserve">. </w:t>
            </w:r>
            <w:r w:rsidRPr="007F3805">
              <w:rPr>
                <w:rFonts w:cs="Arial"/>
                <w:sz w:val="16"/>
                <w:szCs w:val="16"/>
              </w:rPr>
              <w:t>Achsensymmetrie erkennen, beschreiben und nutzen</w:t>
            </w:r>
          </w:p>
        </w:tc>
        <w:tc>
          <w:tcPr>
            <w:tcW w:w="1559" w:type="dxa"/>
          </w:tcPr>
          <w:p w:rsidR="006F5D1B" w:rsidRPr="007F3805" w:rsidRDefault="007F3805" w:rsidP="00793938">
            <w:pPr>
              <w:pStyle w:val="IQB-Merkmalswert"/>
              <w:spacing w:before="0" w:after="120"/>
              <w:rPr>
                <w:rFonts w:cs="Arial"/>
                <w:sz w:val="16"/>
                <w:szCs w:val="16"/>
              </w:rPr>
            </w:pPr>
            <w:r w:rsidRPr="007F3805">
              <w:rPr>
                <w:rFonts w:cs="Arial"/>
                <w:sz w:val="16"/>
                <w:szCs w:val="16"/>
              </w:rPr>
              <w:t>Eigenschaften d</w:t>
            </w:r>
            <w:r>
              <w:rPr>
                <w:rFonts w:cs="Arial"/>
                <w:sz w:val="16"/>
                <w:szCs w:val="16"/>
              </w:rPr>
              <w:t xml:space="preserve">. </w:t>
            </w:r>
            <w:r w:rsidRPr="007F3805">
              <w:rPr>
                <w:rFonts w:cs="Arial"/>
                <w:sz w:val="16"/>
                <w:szCs w:val="16"/>
              </w:rPr>
              <w:t>Achsensymmetrie erkennen, beschreiben und nutzen</w:t>
            </w:r>
          </w:p>
        </w:tc>
        <w:tc>
          <w:tcPr>
            <w:tcW w:w="1559" w:type="dxa"/>
          </w:tcPr>
          <w:p w:rsidR="006F5D1B" w:rsidRPr="007F3805" w:rsidRDefault="007F3805" w:rsidP="00793938">
            <w:pPr>
              <w:pStyle w:val="IQB-Merkmalswert"/>
              <w:spacing w:before="0" w:after="120"/>
              <w:rPr>
                <w:rFonts w:cs="Arial"/>
                <w:sz w:val="16"/>
                <w:szCs w:val="16"/>
              </w:rPr>
            </w:pPr>
            <w:r w:rsidRPr="007F3805">
              <w:rPr>
                <w:rFonts w:cs="Arial"/>
                <w:sz w:val="16"/>
                <w:szCs w:val="16"/>
              </w:rPr>
              <w:t>Eigenschaften d</w:t>
            </w:r>
            <w:r>
              <w:rPr>
                <w:rFonts w:cs="Arial"/>
                <w:sz w:val="16"/>
                <w:szCs w:val="16"/>
              </w:rPr>
              <w:t xml:space="preserve">. </w:t>
            </w:r>
            <w:r w:rsidRPr="007F3805">
              <w:rPr>
                <w:rFonts w:cs="Arial"/>
                <w:sz w:val="16"/>
                <w:szCs w:val="16"/>
              </w:rPr>
              <w:t>Achsensymmetrie erkennen, beschreiben und nutzen</w:t>
            </w:r>
          </w:p>
        </w:tc>
        <w:tc>
          <w:tcPr>
            <w:tcW w:w="1559" w:type="dxa"/>
          </w:tcPr>
          <w:p w:rsidR="006F5D1B" w:rsidRPr="007F3805" w:rsidRDefault="007F3805" w:rsidP="00793938">
            <w:pPr>
              <w:pStyle w:val="IQB-Merkmalswert"/>
              <w:spacing w:before="0" w:after="120"/>
              <w:rPr>
                <w:rFonts w:cs="Arial"/>
                <w:sz w:val="16"/>
                <w:szCs w:val="16"/>
              </w:rPr>
            </w:pPr>
            <w:r w:rsidRPr="007F3805">
              <w:rPr>
                <w:rFonts w:cs="Arial"/>
                <w:sz w:val="16"/>
                <w:szCs w:val="16"/>
              </w:rPr>
              <w:t xml:space="preserve">Eigenschaften </w:t>
            </w:r>
            <w:r>
              <w:rPr>
                <w:rFonts w:cs="Arial"/>
                <w:sz w:val="16"/>
                <w:szCs w:val="16"/>
              </w:rPr>
              <w:t xml:space="preserve">d. </w:t>
            </w:r>
            <w:r w:rsidRPr="007F3805">
              <w:rPr>
                <w:rFonts w:cs="Arial"/>
                <w:sz w:val="16"/>
                <w:szCs w:val="16"/>
              </w:rPr>
              <w:t>Achsensymmetrie erkennen, beschreiben und nutzen</w:t>
            </w:r>
          </w:p>
        </w:tc>
      </w:tr>
      <w:tr w:rsidR="007F3805" w:rsidRPr="007F3805" w:rsidTr="007F3805">
        <w:trPr>
          <w:trHeight w:val="524"/>
        </w:trPr>
        <w:tc>
          <w:tcPr>
            <w:tcW w:w="1702" w:type="dxa"/>
            <w:vAlign w:val="center"/>
          </w:tcPr>
          <w:p w:rsidR="006F5D1B" w:rsidRPr="007F3805" w:rsidRDefault="007F3805" w:rsidP="00793938">
            <w:pPr>
              <w:pStyle w:val="IQB-Merkmal"/>
              <w:spacing w:before="0" w:after="120"/>
              <w:rPr>
                <w:rFonts w:cs="Arial"/>
                <w:sz w:val="16"/>
                <w:szCs w:val="16"/>
              </w:rPr>
            </w:pPr>
            <w:r w:rsidRPr="007F3805">
              <w:rPr>
                <w:rFonts w:cs="Arial"/>
                <w:sz w:val="16"/>
                <w:szCs w:val="16"/>
              </w:rPr>
              <w:t>Kompetenzstufe</w:t>
            </w:r>
          </w:p>
        </w:tc>
        <w:tc>
          <w:tcPr>
            <w:tcW w:w="1559" w:type="dxa"/>
          </w:tcPr>
          <w:p w:rsidR="006F5D1B" w:rsidRPr="007F3805" w:rsidRDefault="007F3805" w:rsidP="00793938">
            <w:pPr>
              <w:pStyle w:val="IQB-Merkmalswert"/>
              <w:spacing w:before="0" w:after="120"/>
              <w:rPr>
                <w:rFonts w:cs="Arial"/>
                <w:sz w:val="16"/>
                <w:szCs w:val="16"/>
              </w:rPr>
            </w:pPr>
            <w:r w:rsidRPr="007F3805">
              <w:rPr>
                <w:rFonts w:cs="Arial"/>
                <w:sz w:val="16"/>
                <w:szCs w:val="16"/>
              </w:rPr>
              <w:t>V</w:t>
            </w:r>
          </w:p>
        </w:tc>
        <w:tc>
          <w:tcPr>
            <w:tcW w:w="1559" w:type="dxa"/>
          </w:tcPr>
          <w:p w:rsidR="006F5D1B" w:rsidRPr="007F3805" w:rsidRDefault="007F3805" w:rsidP="00793938">
            <w:pPr>
              <w:pStyle w:val="IQB-Merkmalswert"/>
              <w:spacing w:before="0" w:after="120"/>
              <w:rPr>
                <w:rFonts w:cs="Arial"/>
                <w:sz w:val="16"/>
                <w:szCs w:val="16"/>
              </w:rPr>
            </w:pPr>
            <w:r w:rsidRPr="007F3805">
              <w:rPr>
                <w:rFonts w:cs="Arial"/>
                <w:sz w:val="16"/>
                <w:szCs w:val="16"/>
              </w:rPr>
              <w:t>III</w:t>
            </w:r>
          </w:p>
        </w:tc>
        <w:tc>
          <w:tcPr>
            <w:tcW w:w="1526" w:type="dxa"/>
          </w:tcPr>
          <w:p w:rsidR="006F5D1B" w:rsidRPr="007F3805" w:rsidRDefault="007F3805" w:rsidP="00793938">
            <w:pPr>
              <w:pStyle w:val="IQB-Merkmalswert"/>
              <w:spacing w:before="0" w:after="120"/>
              <w:rPr>
                <w:rFonts w:cs="Arial"/>
                <w:sz w:val="16"/>
                <w:szCs w:val="16"/>
              </w:rPr>
            </w:pPr>
            <w:r w:rsidRPr="007F3805">
              <w:rPr>
                <w:rFonts w:cs="Arial"/>
                <w:sz w:val="16"/>
                <w:szCs w:val="16"/>
              </w:rPr>
              <w:t>III</w:t>
            </w:r>
          </w:p>
        </w:tc>
        <w:tc>
          <w:tcPr>
            <w:tcW w:w="1559" w:type="dxa"/>
          </w:tcPr>
          <w:p w:rsidR="006F5D1B" w:rsidRPr="007F3805" w:rsidRDefault="007F3805" w:rsidP="00793938">
            <w:pPr>
              <w:pStyle w:val="IQB-Merkmalswert"/>
              <w:spacing w:before="0" w:after="120"/>
              <w:rPr>
                <w:rFonts w:cs="Arial"/>
                <w:sz w:val="16"/>
                <w:szCs w:val="16"/>
              </w:rPr>
            </w:pPr>
            <w:r w:rsidRPr="007F3805">
              <w:rPr>
                <w:rFonts w:cs="Arial"/>
                <w:sz w:val="16"/>
                <w:szCs w:val="16"/>
              </w:rPr>
              <w:t>IV</w:t>
            </w:r>
          </w:p>
        </w:tc>
        <w:tc>
          <w:tcPr>
            <w:tcW w:w="1559" w:type="dxa"/>
          </w:tcPr>
          <w:p w:rsidR="006F5D1B" w:rsidRPr="007F3805" w:rsidRDefault="007F3805" w:rsidP="00793938">
            <w:pPr>
              <w:pStyle w:val="IQB-Merkmalswert"/>
              <w:spacing w:before="0" w:after="120"/>
              <w:rPr>
                <w:rFonts w:cs="Arial"/>
                <w:sz w:val="16"/>
                <w:szCs w:val="16"/>
              </w:rPr>
            </w:pPr>
            <w:r w:rsidRPr="007F3805">
              <w:rPr>
                <w:rFonts w:cs="Arial"/>
                <w:sz w:val="16"/>
                <w:szCs w:val="16"/>
              </w:rPr>
              <w:t>III</w:t>
            </w:r>
          </w:p>
        </w:tc>
        <w:tc>
          <w:tcPr>
            <w:tcW w:w="1559" w:type="dxa"/>
          </w:tcPr>
          <w:p w:rsidR="006F5D1B" w:rsidRPr="007F3805" w:rsidRDefault="007F3805" w:rsidP="00793938">
            <w:pPr>
              <w:pStyle w:val="IQB-Merkmalswert"/>
              <w:spacing w:before="0" w:after="120"/>
              <w:rPr>
                <w:rFonts w:cs="Arial"/>
                <w:sz w:val="16"/>
                <w:szCs w:val="16"/>
              </w:rPr>
            </w:pPr>
            <w:r w:rsidRPr="007F3805">
              <w:rPr>
                <w:rFonts w:cs="Arial"/>
                <w:sz w:val="16"/>
                <w:szCs w:val="16"/>
              </w:rPr>
              <w:t>IV</w:t>
            </w:r>
          </w:p>
        </w:tc>
      </w:tr>
      <w:tr w:rsidR="007F3805" w:rsidRPr="007F3805" w:rsidTr="007F3805">
        <w:trPr>
          <w:trHeight w:val="514"/>
        </w:trPr>
        <w:tc>
          <w:tcPr>
            <w:tcW w:w="1702" w:type="dxa"/>
            <w:vAlign w:val="center"/>
          </w:tcPr>
          <w:p w:rsidR="006F5D1B" w:rsidRPr="007F3805" w:rsidRDefault="007F3805" w:rsidP="00793938">
            <w:pPr>
              <w:pStyle w:val="IQB-Merkmal"/>
              <w:spacing w:before="0" w:after="120"/>
              <w:rPr>
                <w:rFonts w:cs="Arial"/>
                <w:sz w:val="16"/>
                <w:szCs w:val="16"/>
              </w:rPr>
            </w:pPr>
            <w:r w:rsidRPr="007F3805">
              <w:rPr>
                <w:rFonts w:cs="Arial"/>
                <w:sz w:val="16"/>
                <w:szCs w:val="16"/>
              </w:rPr>
              <w:t>Anforderungsbereich</w:t>
            </w:r>
          </w:p>
        </w:tc>
        <w:tc>
          <w:tcPr>
            <w:tcW w:w="1559" w:type="dxa"/>
          </w:tcPr>
          <w:p w:rsidR="006F5D1B" w:rsidRPr="007F3805" w:rsidRDefault="007F3805" w:rsidP="00793938">
            <w:pPr>
              <w:pStyle w:val="IQB-Merkmalswert"/>
              <w:spacing w:before="0" w:after="120"/>
              <w:rPr>
                <w:rFonts w:cs="Arial"/>
                <w:sz w:val="16"/>
                <w:szCs w:val="16"/>
              </w:rPr>
            </w:pPr>
            <w:r w:rsidRPr="007F3805">
              <w:rPr>
                <w:rFonts w:cs="Arial"/>
                <w:sz w:val="16"/>
                <w:szCs w:val="16"/>
              </w:rPr>
              <w:t>Reproduzieren (I)</w:t>
            </w:r>
          </w:p>
        </w:tc>
        <w:tc>
          <w:tcPr>
            <w:tcW w:w="1559" w:type="dxa"/>
          </w:tcPr>
          <w:p w:rsidR="006F5D1B" w:rsidRPr="007F3805" w:rsidRDefault="007F3805" w:rsidP="00793938">
            <w:pPr>
              <w:pStyle w:val="IQB-Merkmalswert"/>
              <w:spacing w:before="0" w:after="120"/>
              <w:rPr>
                <w:rFonts w:cs="Arial"/>
                <w:sz w:val="16"/>
                <w:szCs w:val="16"/>
              </w:rPr>
            </w:pPr>
            <w:r w:rsidRPr="007F3805">
              <w:rPr>
                <w:rFonts w:cs="Arial"/>
                <w:sz w:val="16"/>
                <w:szCs w:val="16"/>
              </w:rPr>
              <w:t>Reproduzieren (I)</w:t>
            </w:r>
          </w:p>
        </w:tc>
        <w:tc>
          <w:tcPr>
            <w:tcW w:w="1526" w:type="dxa"/>
          </w:tcPr>
          <w:p w:rsidR="006F5D1B" w:rsidRPr="007F3805" w:rsidRDefault="007F3805" w:rsidP="00793938">
            <w:pPr>
              <w:pStyle w:val="IQB-Merkmalswert"/>
              <w:spacing w:before="0" w:after="120"/>
              <w:rPr>
                <w:rFonts w:cs="Arial"/>
                <w:sz w:val="16"/>
                <w:szCs w:val="16"/>
              </w:rPr>
            </w:pPr>
            <w:r w:rsidRPr="007F3805">
              <w:rPr>
                <w:rFonts w:cs="Arial"/>
                <w:sz w:val="16"/>
                <w:szCs w:val="16"/>
              </w:rPr>
              <w:t>Reproduzieren (I)</w:t>
            </w:r>
          </w:p>
        </w:tc>
        <w:tc>
          <w:tcPr>
            <w:tcW w:w="1559" w:type="dxa"/>
          </w:tcPr>
          <w:p w:rsidR="006F5D1B" w:rsidRPr="007F3805" w:rsidRDefault="007F3805" w:rsidP="00793938">
            <w:pPr>
              <w:pStyle w:val="IQB-Merkmalswert"/>
              <w:spacing w:before="0" w:after="120"/>
              <w:rPr>
                <w:rFonts w:cs="Arial"/>
                <w:sz w:val="16"/>
                <w:szCs w:val="16"/>
              </w:rPr>
            </w:pPr>
            <w:r w:rsidRPr="007F3805">
              <w:rPr>
                <w:rFonts w:cs="Arial"/>
                <w:sz w:val="16"/>
                <w:szCs w:val="16"/>
              </w:rPr>
              <w:t>Reproduzieren (I)</w:t>
            </w:r>
          </w:p>
        </w:tc>
        <w:tc>
          <w:tcPr>
            <w:tcW w:w="1559" w:type="dxa"/>
          </w:tcPr>
          <w:p w:rsidR="006F5D1B" w:rsidRPr="007F3805" w:rsidRDefault="007F3805" w:rsidP="00793938">
            <w:pPr>
              <w:pStyle w:val="IQB-Merkmalswert"/>
              <w:spacing w:before="0" w:after="120"/>
              <w:rPr>
                <w:rFonts w:cs="Arial"/>
                <w:sz w:val="16"/>
                <w:szCs w:val="16"/>
              </w:rPr>
            </w:pPr>
            <w:r w:rsidRPr="007F3805">
              <w:rPr>
                <w:rFonts w:cs="Arial"/>
                <w:sz w:val="16"/>
                <w:szCs w:val="16"/>
              </w:rPr>
              <w:t>Reproduzieren (I)</w:t>
            </w:r>
          </w:p>
        </w:tc>
        <w:tc>
          <w:tcPr>
            <w:tcW w:w="1559" w:type="dxa"/>
          </w:tcPr>
          <w:p w:rsidR="006F5D1B" w:rsidRPr="007F3805" w:rsidRDefault="007F3805" w:rsidP="00793938">
            <w:pPr>
              <w:pStyle w:val="IQB-Merkmalswert"/>
              <w:spacing w:before="0" w:after="120"/>
              <w:rPr>
                <w:rFonts w:cs="Arial"/>
                <w:sz w:val="16"/>
                <w:szCs w:val="16"/>
              </w:rPr>
            </w:pPr>
            <w:r w:rsidRPr="007F3805">
              <w:rPr>
                <w:rFonts w:cs="Arial"/>
                <w:sz w:val="16"/>
                <w:szCs w:val="16"/>
              </w:rPr>
              <w:t>Reproduzieren (I)</w:t>
            </w:r>
          </w:p>
        </w:tc>
      </w:tr>
    </w:tbl>
    <w:p w:rsidR="00793938" w:rsidRDefault="00793938" w:rsidP="00793938">
      <w:pPr>
        <w:pStyle w:val="IQB-Teilaufgabensubtitel"/>
        <w:spacing w:before="0" w:after="120"/>
        <w:rPr>
          <w:rFonts w:cs="Arial"/>
          <w:szCs w:val="22"/>
        </w:rPr>
      </w:pPr>
    </w:p>
    <w:p w:rsidR="00793938" w:rsidRPr="00793938" w:rsidRDefault="00793938" w:rsidP="00793938">
      <w:pPr>
        <w:pStyle w:val="IQB-Teilaufgabensubtitel"/>
        <w:spacing w:before="0" w:after="120"/>
        <w:rPr>
          <w:rFonts w:cs="Arial"/>
          <w:b/>
          <w:szCs w:val="22"/>
        </w:rPr>
      </w:pPr>
      <w:r w:rsidRPr="00793938">
        <w:rPr>
          <w:rFonts w:cs="Arial"/>
          <w:b/>
          <w:szCs w:val="22"/>
        </w:rPr>
        <w:t>Aufgabenbezogener Kommentar</w:t>
      </w:r>
    </w:p>
    <w:p w:rsidR="00793938" w:rsidRPr="00793938" w:rsidRDefault="00793938" w:rsidP="00793938">
      <w:pPr>
        <w:spacing w:after="120"/>
        <w:rPr>
          <w:rFonts w:ascii="Arial" w:hAnsi="Arial" w:cs="Arial"/>
          <w:sz w:val="22"/>
          <w:szCs w:val="22"/>
        </w:rPr>
      </w:pPr>
      <w:r w:rsidRPr="00793938">
        <w:rPr>
          <w:rFonts w:ascii="Arial" w:hAnsi="Arial" w:cs="Arial"/>
          <w:sz w:val="22"/>
          <w:szCs w:val="22"/>
        </w:rPr>
        <w:t>Damit das Kind diese Aufgabe bearbeiten kann, muss es über folgendes Wissen verfügen:</w:t>
      </w:r>
    </w:p>
    <w:p w:rsidR="00793938" w:rsidRDefault="00793938" w:rsidP="00793938">
      <w:pPr>
        <w:pStyle w:val="Listenabsatz"/>
        <w:numPr>
          <w:ilvl w:val="0"/>
          <w:numId w:val="3"/>
        </w:numPr>
        <w:spacing w:after="120"/>
        <w:rPr>
          <w:rFonts w:ascii="Arial" w:hAnsi="Arial" w:cs="Arial"/>
          <w:sz w:val="22"/>
          <w:szCs w:val="22"/>
        </w:rPr>
      </w:pPr>
      <w:r w:rsidRPr="00793938">
        <w:rPr>
          <w:rFonts w:ascii="Arial" w:hAnsi="Arial" w:cs="Arial"/>
          <w:sz w:val="22"/>
          <w:szCs w:val="22"/>
        </w:rPr>
        <w:t xml:space="preserve">Die Spiegelachse kann vertikal, horizontal oder diagonal sein. </w:t>
      </w:r>
    </w:p>
    <w:p w:rsidR="00793938" w:rsidRDefault="00793938" w:rsidP="00793938">
      <w:pPr>
        <w:pStyle w:val="Listenabsatz"/>
        <w:numPr>
          <w:ilvl w:val="0"/>
          <w:numId w:val="3"/>
        </w:numPr>
        <w:spacing w:after="120"/>
        <w:rPr>
          <w:rFonts w:ascii="Arial" w:hAnsi="Arial" w:cs="Arial"/>
          <w:sz w:val="22"/>
          <w:szCs w:val="22"/>
        </w:rPr>
      </w:pPr>
      <w:r w:rsidRPr="00793938">
        <w:rPr>
          <w:rFonts w:ascii="Arial" w:hAnsi="Arial" w:cs="Arial"/>
          <w:sz w:val="22"/>
          <w:szCs w:val="22"/>
        </w:rPr>
        <w:t>Es gibt Figuren mit keiner, einer oder mehreren Spiegelachsen.</w:t>
      </w:r>
    </w:p>
    <w:p w:rsidR="00793938" w:rsidRDefault="00793938" w:rsidP="00793938">
      <w:pPr>
        <w:pStyle w:val="Listenabsatz"/>
        <w:numPr>
          <w:ilvl w:val="0"/>
          <w:numId w:val="3"/>
        </w:numPr>
        <w:spacing w:after="120"/>
        <w:rPr>
          <w:rFonts w:ascii="Arial" w:hAnsi="Arial" w:cs="Arial"/>
          <w:sz w:val="22"/>
          <w:szCs w:val="22"/>
        </w:rPr>
      </w:pPr>
      <w:r w:rsidRPr="00793938">
        <w:rPr>
          <w:rFonts w:ascii="Arial" w:hAnsi="Arial" w:cs="Arial"/>
          <w:sz w:val="22"/>
          <w:szCs w:val="22"/>
        </w:rPr>
        <w:t xml:space="preserve">In symmetrischen Figuren sind die Hälften deckungsgleich. </w:t>
      </w:r>
    </w:p>
    <w:p w:rsidR="00793938" w:rsidRPr="00793938" w:rsidRDefault="00793938" w:rsidP="00793938">
      <w:pPr>
        <w:pStyle w:val="Listenabsatz"/>
        <w:numPr>
          <w:ilvl w:val="0"/>
          <w:numId w:val="3"/>
        </w:numPr>
        <w:spacing w:after="120"/>
        <w:rPr>
          <w:rFonts w:ascii="Arial" w:hAnsi="Arial" w:cs="Arial"/>
          <w:sz w:val="22"/>
          <w:szCs w:val="22"/>
        </w:rPr>
      </w:pPr>
      <w:r w:rsidRPr="00793938">
        <w:rPr>
          <w:rFonts w:ascii="Arial" w:hAnsi="Arial" w:cs="Arial"/>
          <w:sz w:val="22"/>
          <w:szCs w:val="22"/>
        </w:rPr>
        <w:t>Es gibt symmetrische (vgl. a, b, d) und zueinander symmetrische Figuren (vgl. f).</w:t>
      </w:r>
    </w:p>
    <w:p w:rsidR="00793938" w:rsidRPr="00793938" w:rsidRDefault="00793938" w:rsidP="00793938">
      <w:pPr>
        <w:spacing w:after="120"/>
        <w:rPr>
          <w:rFonts w:ascii="Arial" w:hAnsi="Arial" w:cs="Arial"/>
          <w:sz w:val="22"/>
          <w:szCs w:val="22"/>
        </w:rPr>
      </w:pPr>
      <w:r w:rsidRPr="00793938">
        <w:rPr>
          <w:rFonts w:ascii="Arial" w:hAnsi="Arial" w:cs="Arial"/>
          <w:sz w:val="22"/>
          <w:szCs w:val="22"/>
        </w:rPr>
        <w:t>In Aufgabe d) könnte eine mögliche Fehlerquelle sein, dass die Kinder lediglich eine Spiegel-achse eintragen (vgl. auch die Beachtung des Arbeitsauftrages).</w:t>
      </w:r>
    </w:p>
    <w:p w:rsidR="00793938" w:rsidRPr="00793938" w:rsidRDefault="00793938" w:rsidP="00793938">
      <w:pPr>
        <w:spacing w:after="120"/>
        <w:rPr>
          <w:rFonts w:ascii="Arial" w:hAnsi="Arial" w:cs="Arial"/>
          <w:sz w:val="22"/>
          <w:szCs w:val="22"/>
        </w:rPr>
      </w:pPr>
      <w:r w:rsidRPr="00793938">
        <w:rPr>
          <w:rFonts w:ascii="Arial" w:hAnsi="Arial" w:cs="Arial"/>
          <w:sz w:val="22"/>
          <w:szCs w:val="22"/>
        </w:rPr>
        <w:t>Ein möglicher Fehler bei Aufgabe f) könnte sein, dass die Kinder die Figur nicht als zueinander symmetrische Figuren erkennen, sondern Spiegelachsen in die beiden Teile der Figur einzeichnen.</w:t>
      </w:r>
    </w:p>
    <w:p w:rsidR="00793938" w:rsidRDefault="00793938" w:rsidP="00793938">
      <w:pPr>
        <w:spacing w:after="120"/>
        <w:rPr>
          <w:rFonts w:ascii="Arial" w:hAnsi="Arial" w:cs="Arial"/>
          <w:sz w:val="22"/>
          <w:szCs w:val="22"/>
        </w:rPr>
      </w:pPr>
      <w:r w:rsidRPr="00793938">
        <w:rPr>
          <w:rFonts w:ascii="Arial" w:hAnsi="Arial" w:cs="Arial"/>
          <w:sz w:val="22"/>
          <w:szCs w:val="22"/>
        </w:rPr>
        <w:t xml:space="preserve">Eine Besonderheit dieser Aufgabe besteht darin, dass die Teilaufgaben c) und e) als richtig gelöst gelten, wenn keine Spiegelachse eingezeichnet wurde. So ist jedoch nicht sicher zu erkennen, ob die Teilaufgaben c) und e) überhaupt bearbeitet wurden und das Nichteinzeichnen der Spiegelachsen bewusst erfolgte. </w:t>
      </w:r>
    </w:p>
    <w:p w:rsidR="00793938" w:rsidRDefault="00793938" w:rsidP="00793938">
      <w:pPr>
        <w:spacing w:after="120"/>
        <w:rPr>
          <w:rFonts w:ascii="Arial" w:hAnsi="Arial" w:cs="Arial"/>
          <w:sz w:val="22"/>
          <w:szCs w:val="22"/>
        </w:rPr>
      </w:pPr>
      <w:r w:rsidRPr="00793938">
        <w:rPr>
          <w:rFonts w:ascii="Arial" w:hAnsi="Arial" w:cs="Arial"/>
          <w:sz w:val="22"/>
          <w:szCs w:val="22"/>
        </w:rPr>
        <w:t>Aus diesem Grunde gelten die Teilaufgaben c) und e) nur dann als richtig gelöst, wenn anhand der anderen Teilaufgaben erkennbar ist, dass die Aufgabe überhaupt bearbeitet wurde und somit zu vermuten ist, dass die Schülerinnen und Schüler sich auch mit den Teilaufgaben c) und e) befasst haben.</w:t>
      </w:r>
    </w:p>
    <w:p w:rsidR="00793938" w:rsidRPr="00793938" w:rsidRDefault="00793938" w:rsidP="00793938">
      <w:pPr>
        <w:spacing w:after="120"/>
        <w:rPr>
          <w:rFonts w:ascii="Arial" w:hAnsi="Arial" w:cs="Arial"/>
          <w:sz w:val="22"/>
          <w:szCs w:val="22"/>
        </w:rPr>
      </w:pPr>
    </w:p>
    <w:p w:rsidR="00793938" w:rsidRPr="00793938" w:rsidRDefault="00793938" w:rsidP="00793938">
      <w:pPr>
        <w:spacing w:after="120"/>
        <w:rPr>
          <w:rFonts w:ascii="Arial" w:hAnsi="Arial" w:cs="Arial"/>
          <w:b/>
          <w:sz w:val="22"/>
          <w:szCs w:val="22"/>
        </w:rPr>
      </w:pPr>
      <w:r w:rsidRPr="00793938">
        <w:rPr>
          <w:rFonts w:ascii="Arial" w:hAnsi="Arial" w:cs="Arial"/>
          <w:b/>
          <w:sz w:val="22"/>
          <w:szCs w:val="22"/>
        </w:rPr>
        <w:t>Anregungen für den Unterricht</w:t>
      </w:r>
    </w:p>
    <w:p w:rsidR="00793938" w:rsidRPr="00793938" w:rsidRDefault="00793938" w:rsidP="00793938">
      <w:pPr>
        <w:spacing w:after="120"/>
        <w:rPr>
          <w:rFonts w:ascii="Arial" w:hAnsi="Arial" w:cs="Arial"/>
          <w:sz w:val="22"/>
          <w:szCs w:val="22"/>
        </w:rPr>
      </w:pPr>
      <w:r w:rsidRPr="00793938">
        <w:rPr>
          <w:rFonts w:ascii="Arial" w:hAnsi="Arial" w:cs="Arial"/>
          <w:sz w:val="22"/>
          <w:szCs w:val="22"/>
        </w:rPr>
        <w:t>Zum Erwerb grundlegender Fähigkeiten und Fertigkeiten ist es notwendig, dass die Kinder vielfältige Erfahrungen zur Symmetrie auf der handelnden und bildlichen Ebene machen.</w:t>
      </w:r>
    </w:p>
    <w:p w:rsidR="00567C09" w:rsidRDefault="00567C09" w:rsidP="00793938">
      <w:pPr>
        <w:spacing w:after="120"/>
        <w:rPr>
          <w:rFonts w:ascii="Arial" w:hAnsi="Arial" w:cs="Arial"/>
          <w:sz w:val="22"/>
          <w:szCs w:val="22"/>
        </w:rPr>
      </w:pPr>
    </w:p>
    <w:p w:rsidR="00793938" w:rsidRPr="00793938" w:rsidRDefault="00793938" w:rsidP="00793938">
      <w:pPr>
        <w:spacing w:after="120"/>
        <w:rPr>
          <w:rFonts w:ascii="Arial" w:hAnsi="Arial" w:cs="Arial"/>
          <w:sz w:val="22"/>
          <w:szCs w:val="22"/>
        </w:rPr>
      </w:pPr>
      <w:r w:rsidRPr="00793938">
        <w:rPr>
          <w:rFonts w:ascii="Arial" w:hAnsi="Arial" w:cs="Arial"/>
          <w:sz w:val="22"/>
          <w:szCs w:val="22"/>
        </w:rPr>
        <w:lastRenderedPageBreak/>
        <w:t>Sie</w:t>
      </w:r>
      <w:r>
        <w:rPr>
          <w:rFonts w:ascii="Arial" w:hAnsi="Arial" w:cs="Arial"/>
          <w:sz w:val="22"/>
          <w:szCs w:val="22"/>
        </w:rPr>
        <w:t>:</w:t>
      </w:r>
    </w:p>
    <w:p w:rsidR="00793938" w:rsidRDefault="00793938" w:rsidP="00793938">
      <w:pPr>
        <w:pStyle w:val="Listenabsatz"/>
        <w:numPr>
          <w:ilvl w:val="0"/>
          <w:numId w:val="4"/>
        </w:numPr>
        <w:spacing w:after="120"/>
        <w:rPr>
          <w:rFonts w:ascii="Arial" w:hAnsi="Arial" w:cs="Arial"/>
          <w:sz w:val="22"/>
          <w:szCs w:val="22"/>
        </w:rPr>
      </w:pPr>
      <w:r w:rsidRPr="00793938">
        <w:rPr>
          <w:rFonts w:ascii="Arial" w:hAnsi="Arial" w:cs="Arial"/>
          <w:sz w:val="22"/>
          <w:szCs w:val="22"/>
        </w:rPr>
        <w:t>schneiden ebene Figuren aus und bestimmen die Spiegelachsen durch Falten,</w:t>
      </w:r>
    </w:p>
    <w:p w:rsidR="00793938" w:rsidRDefault="00793938" w:rsidP="00793938">
      <w:pPr>
        <w:pStyle w:val="Listenabsatz"/>
        <w:numPr>
          <w:ilvl w:val="0"/>
          <w:numId w:val="4"/>
        </w:numPr>
        <w:spacing w:after="120"/>
        <w:rPr>
          <w:rFonts w:ascii="Arial" w:hAnsi="Arial" w:cs="Arial"/>
          <w:sz w:val="22"/>
          <w:szCs w:val="22"/>
        </w:rPr>
      </w:pPr>
      <w:r w:rsidRPr="00793938">
        <w:rPr>
          <w:rFonts w:ascii="Arial" w:hAnsi="Arial" w:cs="Arial"/>
          <w:sz w:val="22"/>
          <w:szCs w:val="22"/>
        </w:rPr>
        <w:t>bestimmen die Spiegelachsen experimentell mit dem Spiegel und</w:t>
      </w:r>
    </w:p>
    <w:p w:rsidR="00793938" w:rsidRPr="00793938" w:rsidRDefault="00793938" w:rsidP="00793938">
      <w:pPr>
        <w:pStyle w:val="Listenabsatz"/>
        <w:numPr>
          <w:ilvl w:val="0"/>
          <w:numId w:val="4"/>
        </w:numPr>
        <w:spacing w:after="120"/>
        <w:rPr>
          <w:rFonts w:ascii="Arial" w:hAnsi="Arial" w:cs="Arial"/>
          <w:sz w:val="22"/>
          <w:szCs w:val="22"/>
        </w:rPr>
      </w:pPr>
      <w:r w:rsidRPr="00793938">
        <w:rPr>
          <w:rFonts w:ascii="Arial" w:hAnsi="Arial" w:cs="Arial"/>
          <w:sz w:val="22"/>
          <w:szCs w:val="22"/>
        </w:rPr>
        <w:t xml:space="preserve">stellen Figuren aufgrund ihrer Symmetrieeigenschaften her. </w:t>
      </w:r>
    </w:p>
    <w:p w:rsidR="00D93807" w:rsidRDefault="00D93807"/>
    <w:sectPr w:rsidR="00D9380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5AF5" w:rsidRDefault="000A5AF5" w:rsidP="000A5AF5">
      <w:r>
        <w:separator/>
      </w:r>
    </w:p>
  </w:endnote>
  <w:endnote w:type="continuationSeparator" w:id="0">
    <w:p w:rsidR="000A5AF5" w:rsidRDefault="000A5AF5" w:rsidP="000A5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5AF5" w:rsidRDefault="000A5AF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5AF5" w:rsidRDefault="000A5AF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5AF5" w:rsidRDefault="000A5AF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5AF5" w:rsidRDefault="000A5AF5" w:rsidP="000A5AF5">
      <w:r>
        <w:separator/>
      </w:r>
    </w:p>
  </w:footnote>
  <w:footnote w:type="continuationSeparator" w:id="0">
    <w:p w:rsidR="000A5AF5" w:rsidRDefault="000A5AF5" w:rsidP="000A5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5AF5" w:rsidRDefault="000A5AF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5AF5" w:rsidRDefault="000A5AF5">
    <w:pPr>
      <w:pStyle w:val="Kopfzeile"/>
    </w:pPr>
    <w:r>
      <w:rPr>
        <w:noProof/>
      </w:rPr>
      <w:drawing>
        <wp:inline distT="0" distB="0" distL="0" distR="0" wp14:anchorId="36D52684" wp14:editId="12ECE991">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5AF5" w:rsidRDefault="000A5AF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69B1D8D"/>
    <w:multiLevelType w:val="hybridMultilevel"/>
    <w:tmpl w:val="593CAF4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9D304D5"/>
    <w:multiLevelType w:val="hybridMultilevel"/>
    <w:tmpl w:val="F7F071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A5AF5"/>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A1C8B"/>
    <w:rsid w:val="003A496B"/>
    <w:rsid w:val="003C7D61"/>
    <w:rsid w:val="003D7948"/>
    <w:rsid w:val="004D1DCE"/>
    <w:rsid w:val="004F70C4"/>
    <w:rsid w:val="00566351"/>
    <w:rsid w:val="00567C09"/>
    <w:rsid w:val="0061709D"/>
    <w:rsid w:val="00666933"/>
    <w:rsid w:val="00692E69"/>
    <w:rsid w:val="006C29B7"/>
    <w:rsid w:val="006F5D1B"/>
    <w:rsid w:val="00753D68"/>
    <w:rsid w:val="00756CB3"/>
    <w:rsid w:val="00793938"/>
    <w:rsid w:val="007C729F"/>
    <w:rsid w:val="007D4262"/>
    <w:rsid w:val="007F3805"/>
    <w:rsid w:val="00806273"/>
    <w:rsid w:val="008336E4"/>
    <w:rsid w:val="00837274"/>
    <w:rsid w:val="00861043"/>
    <w:rsid w:val="00871097"/>
    <w:rsid w:val="0088770C"/>
    <w:rsid w:val="009C47FB"/>
    <w:rsid w:val="009D5014"/>
    <w:rsid w:val="009E4A36"/>
    <w:rsid w:val="00A13FB9"/>
    <w:rsid w:val="00A25A42"/>
    <w:rsid w:val="00A47EC4"/>
    <w:rsid w:val="00A95DDE"/>
    <w:rsid w:val="00AB17D0"/>
    <w:rsid w:val="00B8136A"/>
    <w:rsid w:val="00BA4A39"/>
    <w:rsid w:val="00C2385F"/>
    <w:rsid w:val="00C7686A"/>
    <w:rsid w:val="00CF32DF"/>
    <w:rsid w:val="00D44C7A"/>
    <w:rsid w:val="00D462AA"/>
    <w:rsid w:val="00D93807"/>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BB2C14"/>
  <w15:docId w15:val="{11CBF31A-C768-4DD0-80BC-1A0BA7A2E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0A5AF5"/>
    <w:pPr>
      <w:tabs>
        <w:tab w:val="center" w:pos="4536"/>
        <w:tab w:val="right" w:pos="9072"/>
      </w:tabs>
    </w:pPr>
  </w:style>
  <w:style w:type="character" w:customStyle="1" w:styleId="KopfzeileZchn">
    <w:name w:val="Kopfzeile Zchn"/>
    <w:basedOn w:val="Absatz-Standardschriftart"/>
    <w:link w:val="Kopfzeile"/>
    <w:rsid w:val="000A5AF5"/>
    <w:rPr>
      <w:sz w:val="24"/>
      <w:szCs w:val="24"/>
    </w:rPr>
  </w:style>
  <w:style w:type="paragraph" w:styleId="Fuzeile">
    <w:name w:val="footer"/>
    <w:basedOn w:val="Standard"/>
    <w:link w:val="FuzeileZchn"/>
    <w:unhideWhenUsed/>
    <w:rsid w:val="000A5AF5"/>
    <w:pPr>
      <w:tabs>
        <w:tab w:val="center" w:pos="4536"/>
        <w:tab w:val="right" w:pos="9072"/>
      </w:tabs>
    </w:pPr>
  </w:style>
  <w:style w:type="character" w:customStyle="1" w:styleId="FuzeileZchn">
    <w:name w:val="Fußzeile Zchn"/>
    <w:basedOn w:val="Absatz-Standardschriftart"/>
    <w:link w:val="Fuzeile"/>
    <w:rsid w:val="000A5AF5"/>
    <w:rPr>
      <w:sz w:val="24"/>
      <w:szCs w:val="24"/>
    </w:rPr>
  </w:style>
  <w:style w:type="paragraph" w:styleId="Listenabsatz">
    <w:name w:val="List Paragraph"/>
    <w:basedOn w:val="Standard"/>
    <w:uiPriority w:val="34"/>
    <w:qFormat/>
    <w:rsid w:val="007939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438</Words>
  <Characters>2763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9</cp:revision>
  <cp:lastPrinted>2007-01-11T14:25:00Z</cp:lastPrinted>
  <dcterms:created xsi:type="dcterms:W3CDTF">2020-12-23T09:34:00Z</dcterms:created>
  <dcterms:modified xsi:type="dcterms:W3CDTF">2021-02-12T09:56:00Z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